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20DE5" w14:textId="6D11BE4C" w:rsidR="004361F5" w:rsidRPr="00355972" w:rsidRDefault="004361F5" w:rsidP="004361F5">
      <w:pPr>
        <w:pStyle w:val="FootnoteText"/>
        <w:numPr>
          <w:ilvl w:val="0"/>
          <w:numId w:val="2"/>
        </w:numPr>
      </w:pPr>
      <w:r w:rsidRPr="00355972">
        <w:rPr>
          <w:i/>
          <w:iCs/>
        </w:rPr>
        <w:t>Duke Energy announces sale of its Tennessee Piedmont Natural Gas business to Spire for $2.48 billion</w:t>
      </w:r>
      <w:r w:rsidRPr="00355972">
        <w:t>, PR Newswire, July 29, 2025.</w:t>
      </w:r>
    </w:p>
    <w:p w14:paraId="46FD9E78" w14:textId="42F0B16C" w:rsidR="004361F5" w:rsidRPr="00355972" w:rsidRDefault="004361F5" w:rsidP="004361F5">
      <w:pPr>
        <w:pStyle w:val="FootnoteText"/>
        <w:numPr>
          <w:ilvl w:val="0"/>
          <w:numId w:val="2"/>
        </w:numPr>
      </w:pPr>
      <w:r w:rsidRPr="00355972">
        <w:rPr>
          <w:i/>
          <w:iCs/>
        </w:rPr>
        <w:t>TXNM Energy Enters Agreement to be Acquired by Blackstone Infrastructure</w:t>
      </w:r>
      <w:r w:rsidRPr="00355972">
        <w:t>, PR Newswire, May 19, 2025.</w:t>
      </w:r>
    </w:p>
    <w:p w14:paraId="61B10CA5" w14:textId="77777777" w:rsidR="00355972" w:rsidRDefault="004361F5" w:rsidP="00355972">
      <w:pPr>
        <w:pStyle w:val="FootnoteText"/>
        <w:numPr>
          <w:ilvl w:val="0"/>
          <w:numId w:val="2"/>
        </w:numPr>
      </w:pPr>
      <w:r w:rsidRPr="00355972">
        <w:rPr>
          <w:i/>
          <w:iCs/>
        </w:rPr>
        <w:t>FirstEnergy Announces $3.5 Billion Equity Capital Agreement to Further Enhance Financial Position and Support Sustainable, Long-Term Growth</w:t>
      </w:r>
      <w:r w:rsidRPr="00355972">
        <w:t>, PR Newswire, February 2, 2023.</w:t>
      </w:r>
    </w:p>
    <w:p w14:paraId="11BA2E0C" w14:textId="7523195A" w:rsidR="004361F5" w:rsidRPr="00355972" w:rsidRDefault="004361F5" w:rsidP="00355972">
      <w:pPr>
        <w:pStyle w:val="FootnoteText"/>
        <w:numPr>
          <w:ilvl w:val="0"/>
          <w:numId w:val="2"/>
        </w:numPr>
      </w:pPr>
      <w:r w:rsidRPr="00355972">
        <w:t xml:space="preserve">Jing Liu, Doron Nissim, and Jacob Thomas, Is Cash Flow King in Valuations?, </w:t>
      </w:r>
      <w:r w:rsidRPr="00355972">
        <w:rPr>
          <w:u w:val="single"/>
        </w:rPr>
        <w:t>Financial Analysts Journal</w:t>
      </w:r>
      <w:r w:rsidRPr="00355972">
        <w:t>, Volume 63, Number 2, 2007.</w:t>
      </w:r>
    </w:p>
    <w:p w14:paraId="436E9530" w14:textId="493F7690" w:rsidR="004361F5" w:rsidRPr="00355972" w:rsidRDefault="004361F5" w:rsidP="00355972">
      <w:pPr>
        <w:pStyle w:val="FootnoteText"/>
        <w:numPr>
          <w:ilvl w:val="0"/>
          <w:numId w:val="2"/>
        </w:numPr>
      </w:pPr>
      <w:bookmarkStart w:id="0" w:name="_Hlk192164830"/>
      <w:r w:rsidRPr="00355972">
        <w:t xml:space="preserve">Roger A. Morin, </w:t>
      </w:r>
      <w:r w:rsidRPr="00355972">
        <w:rPr>
          <w:u w:val="single"/>
        </w:rPr>
        <w:t>Modern Regulatory Finance</w:t>
      </w:r>
      <w:r w:rsidRPr="00355972">
        <w:t xml:space="preserve">, PUR Books, 2021, at 371-373. </w:t>
      </w:r>
      <w:bookmarkEnd w:id="0"/>
      <w:r w:rsidRPr="00355972">
        <w:t xml:space="preserve">(“Morin”), Morin, at </w:t>
      </w:r>
      <w:r w:rsidR="00A906EB" w:rsidRPr="00355972">
        <w:t>139-140, 142</w:t>
      </w:r>
      <w:r w:rsidR="00A906EB">
        <w:t xml:space="preserve">, </w:t>
      </w:r>
      <w:r w:rsidRPr="00355972">
        <w:t>144-147, Morin, at 223-224</w:t>
      </w:r>
      <w:r w:rsidR="00355972" w:rsidRPr="00355972">
        <w:t>, 383-384</w:t>
      </w:r>
      <w:r w:rsidR="00501155">
        <w:t>, 371-373</w:t>
      </w:r>
      <w:r w:rsidRPr="00355972">
        <w:t>.</w:t>
      </w:r>
    </w:p>
    <w:p w14:paraId="4749C618" w14:textId="657ADEF4" w:rsidR="004361F5" w:rsidRPr="00355972" w:rsidRDefault="004361F5" w:rsidP="004361F5">
      <w:pPr>
        <w:pStyle w:val="FootnoteText"/>
        <w:numPr>
          <w:ilvl w:val="0"/>
          <w:numId w:val="2"/>
        </w:numPr>
      </w:pPr>
      <w:bookmarkStart w:id="1" w:name="_Hlk192164843"/>
      <w:r w:rsidRPr="00355972">
        <w:t xml:space="preserve">John G. Cragg and Burton G. Malkiel, </w:t>
      </w:r>
      <w:r w:rsidRPr="00355972">
        <w:rPr>
          <w:u w:val="single"/>
        </w:rPr>
        <w:t>Expectations and the Structure of Share Prices</w:t>
      </w:r>
      <w:r w:rsidRPr="00355972">
        <w:t xml:space="preserve"> (University of Chicago Press, 1982) Chapter 4.</w:t>
      </w:r>
    </w:p>
    <w:p w14:paraId="74416F51" w14:textId="34240905" w:rsidR="004361F5" w:rsidRPr="00355972" w:rsidRDefault="004361F5" w:rsidP="004361F5">
      <w:pPr>
        <w:pStyle w:val="FootnoteText"/>
        <w:numPr>
          <w:ilvl w:val="0"/>
          <w:numId w:val="2"/>
        </w:numPr>
      </w:pPr>
      <w:bookmarkStart w:id="2" w:name="_Hlk192164878"/>
      <w:bookmarkEnd w:id="1"/>
      <w:r w:rsidRPr="00355972">
        <w:t xml:space="preserve">James H. Vander Weide and Willard T. Carleton, </w:t>
      </w:r>
      <w:r w:rsidRPr="00355972">
        <w:rPr>
          <w:i/>
          <w:iCs/>
        </w:rPr>
        <w:t>Investor Growth Expectations:  Analysts vs. History</w:t>
      </w:r>
      <w:r w:rsidRPr="00355972">
        <w:t xml:space="preserve"> (</w:t>
      </w:r>
      <w:r w:rsidRPr="00355972">
        <w:rPr>
          <w:u w:val="single"/>
        </w:rPr>
        <w:t>The Journal of Portfolio Management</w:t>
      </w:r>
      <w:r w:rsidRPr="00355972">
        <w:t>, Spring 1988) 78-82.</w:t>
      </w:r>
      <w:bookmarkEnd w:id="2"/>
    </w:p>
    <w:p w14:paraId="0D586626" w14:textId="52A0C858" w:rsidR="004361F5" w:rsidRPr="00355972" w:rsidRDefault="004361F5" w:rsidP="004361F5">
      <w:pPr>
        <w:pStyle w:val="FootnoteText"/>
        <w:numPr>
          <w:ilvl w:val="0"/>
          <w:numId w:val="2"/>
        </w:numPr>
      </w:pPr>
      <w:bookmarkStart w:id="3" w:name="_Hlk192164956"/>
      <w:r w:rsidRPr="00355972">
        <w:rPr>
          <w:lang w:bidi="en-US"/>
        </w:rPr>
        <w:t>Malkiel rebuttal testimony, South Carolina Electric and Gas Co., pp. 16-17, Docket No. 2002-223-E)</w:t>
      </w:r>
      <w:bookmarkEnd w:id="3"/>
      <w:r w:rsidR="00FC03A1">
        <w:rPr>
          <w:lang w:bidi="en-US"/>
        </w:rPr>
        <w:t>.</w:t>
      </w:r>
    </w:p>
    <w:p w14:paraId="15860A86" w14:textId="2ADC8079" w:rsidR="00355972" w:rsidRDefault="004361F5" w:rsidP="00A906EB">
      <w:pPr>
        <w:pStyle w:val="FootnoteText"/>
        <w:numPr>
          <w:ilvl w:val="0"/>
          <w:numId w:val="2"/>
        </w:numPr>
      </w:pPr>
      <w:r w:rsidRPr="00355972">
        <w:rPr>
          <w:u w:val="single"/>
        </w:rPr>
        <w:t>SBBI – 2023</w:t>
      </w:r>
      <w:r w:rsidRPr="00355972">
        <w:t xml:space="preserve">, at </w:t>
      </w:r>
      <w:r w:rsidR="00355972" w:rsidRPr="00355972">
        <w:t>137</w:t>
      </w:r>
      <w:r w:rsidR="00355972">
        <w:t xml:space="preserve">, </w:t>
      </w:r>
      <w:r w:rsidR="00355972" w:rsidRPr="00355972">
        <w:t>19</w:t>
      </w:r>
      <w:r w:rsidR="00355972">
        <w:t>2</w:t>
      </w:r>
      <w:r w:rsidR="00355972" w:rsidRPr="00355972">
        <w:t>-194</w:t>
      </w:r>
      <w:r w:rsidR="00355972">
        <w:t xml:space="preserve">, </w:t>
      </w:r>
      <w:r w:rsidRPr="00355972">
        <w:t>200</w:t>
      </w:r>
      <w:r w:rsidR="00A906EB">
        <w:t xml:space="preserve">, </w:t>
      </w:r>
      <w:r w:rsidR="00A906EB" w:rsidRPr="00355972">
        <w:rPr>
          <w:u w:val="single"/>
        </w:rPr>
        <w:t>SBBI - 2023</w:t>
      </w:r>
      <w:r w:rsidR="00A906EB" w:rsidRPr="00355972">
        <w:t xml:space="preserve">, at </w:t>
      </w:r>
      <w:bookmarkStart w:id="4" w:name="_Hlk192167000"/>
      <w:r w:rsidR="00A906EB" w:rsidRPr="00355972">
        <w:t>Appendix A-1</w:t>
      </w:r>
      <w:bookmarkEnd w:id="4"/>
      <w:r w:rsidRPr="00355972">
        <w:t>.</w:t>
      </w:r>
    </w:p>
    <w:p w14:paraId="0F1E5B1C" w14:textId="3C3D1DC6" w:rsidR="004361F5" w:rsidRPr="00355972" w:rsidRDefault="004361F5" w:rsidP="00355972">
      <w:pPr>
        <w:pStyle w:val="FootnoteText"/>
        <w:numPr>
          <w:ilvl w:val="0"/>
          <w:numId w:val="2"/>
        </w:numPr>
      </w:pPr>
      <w:r w:rsidRPr="00355972">
        <w:t xml:space="preserve">Roger G. Ibbotson and Peng Chen, </w:t>
      </w:r>
      <w:r w:rsidRPr="00355972">
        <w:rPr>
          <w:i/>
          <w:iCs/>
        </w:rPr>
        <w:t>Long-Run Stock Returns: Participating in the Real Economy</w:t>
      </w:r>
      <w:r w:rsidRPr="00355972">
        <w:t xml:space="preserve">, Financial Analysts Journal, January/February 2003, at p. 94. </w:t>
      </w:r>
    </w:p>
    <w:p w14:paraId="1EA49D7B" w14:textId="06D5FA41" w:rsidR="004361F5" w:rsidRPr="00355972" w:rsidRDefault="004361F5" w:rsidP="00FC03A1">
      <w:pPr>
        <w:pStyle w:val="FootnoteText"/>
        <w:numPr>
          <w:ilvl w:val="0"/>
          <w:numId w:val="2"/>
        </w:numPr>
      </w:pPr>
      <w:r w:rsidRPr="00355972">
        <w:t>KPMG Corporate Finance &amp; Valuations Netherlands, Equity Market Risk Premium – Research Summary, June 30, 2025</w:t>
      </w:r>
      <w:r w:rsidR="00FC03A1">
        <w:t>.</w:t>
      </w:r>
    </w:p>
    <w:p w14:paraId="5B2D437F" w14:textId="59EE4F00" w:rsidR="004361F5" w:rsidRPr="00355972" w:rsidRDefault="004361F5" w:rsidP="004361F5">
      <w:pPr>
        <w:pStyle w:val="FootnoteText"/>
        <w:numPr>
          <w:ilvl w:val="0"/>
          <w:numId w:val="2"/>
        </w:numPr>
        <w:rPr>
          <w:rFonts w:ascii="Garamond" w:hAnsi="Garamond"/>
        </w:rPr>
      </w:pPr>
      <w:r w:rsidRPr="00355972">
        <w:t xml:space="preserve">FRBSF Economic Letter, </w:t>
      </w:r>
      <w:r w:rsidRPr="00355972">
        <w:rPr>
          <w:i/>
          <w:iCs/>
        </w:rPr>
        <w:t>Does Slower Growth Imply Lower Interest Rates?</w:t>
      </w:r>
      <w:r w:rsidRPr="00355972">
        <w:t>, November 10, 2014, at 3.</w:t>
      </w:r>
    </w:p>
    <w:p w14:paraId="72834B7B" w14:textId="2659A677" w:rsidR="004361F5" w:rsidRPr="00355972" w:rsidRDefault="004361F5" w:rsidP="004361F5">
      <w:pPr>
        <w:pStyle w:val="FootnoteText"/>
        <w:numPr>
          <w:ilvl w:val="0"/>
          <w:numId w:val="2"/>
        </w:numPr>
      </w:pPr>
      <w:r w:rsidRPr="00355972">
        <w:t xml:space="preserve">Aswath Damodaran, Stern School of Business, </w:t>
      </w:r>
      <w:r w:rsidRPr="00355972">
        <w:rPr>
          <w:i/>
        </w:rPr>
        <w:t>Equity Risk Premiums (ERP): Determinants, Estimation, and Implications – The 2025 Edition</w:t>
      </w:r>
      <w:r w:rsidRPr="00355972">
        <w:t>, Updated March 5, 2025, at 30-31.</w:t>
      </w:r>
    </w:p>
    <w:p w14:paraId="49189ED5" w14:textId="5853F98C" w:rsidR="004361F5" w:rsidRPr="00355972" w:rsidRDefault="004361F5" w:rsidP="004361F5">
      <w:pPr>
        <w:pStyle w:val="FootnoteText"/>
        <w:numPr>
          <w:ilvl w:val="0"/>
          <w:numId w:val="2"/>
        </w:numPr>
      </w:pPr>
      <w:r w:rsidRPr="00355972">
        <w:t>John Y. Campbell, “Forecasting US Equity Returns in the 21st Century,” Social Security Administration, July 2001.</w:t>
      </w:r>
    </w:p>
    <w:p w14:paraId="671584B7" w14:textId="2899534A" w:rsidR="004361F5" w:rsidRPr="00355972" w:rsidRDefault="004361F5" w:rsidP="004361F5">
      <w:pPr>
        <w:pStyle w:val="FootnoteText"/>
        <w:numPr>
          <w:ilvl w:val="0"/>
          <w:numId w:val="2"/>
        </w:numPr>
      </w:pPr>
      <w:r w:rsidRPr="00355972">
        <w:t xml:space="preserve">Dianna R. Harrington, </w:t>
      </w:r>
      <w:r w:rsidRPr="00355972">
        <w:rPr>
          <w:u w:val="single"/>
        </w:rPr>
        <w:t>Modern Portfolio Theory &amp; the Capital Asset Pricing Model – A User’s Guide</w:t>
      </w:r>
      <w:r w:rsidRPr="00355972">
        <w:t xml:space="preserve">, Prentice-Hall, Inc. 1983, at </w:t>
      </w:r>
      <w:r w:rsidR="00355972">
        <w:t xml:space="preserve">30-31, </w:t>
      </w:r>
      <w:r w:rsidRPr="00355972">
        <w:t>43-45.</w:t>
      </w:r>
    </w:p>
    <w:p w14:paraId="21490099" w14:textId="1D1D1926" w:rsidR="004361F5" w:rsidRPr="00355972" w:rsidRDefault="004361F5" w:rsidP="004361F5">
      <w:pPr>
        <w:pStyle w:val="FootnoteText"/>
        <w:numPr>
          <w:ilvl w:val="0"/>
          <w:numId w:val="2"/>
        </w:numPr>
      </w:pPr>
      <w:r w:rsidRPr="00355972">
        <w:t xml:space="preserve">Eugene F. Brigham and Louis C. Gapenski, </w:t>
      </w:r>
      <w:r w:rsidRPr="00355972">
        <w:rPr>
          <w:u w:val="single"/>
        </w:rPr>
        <w:t>Financial Management – Theory and Practice</w:t>
      </w:r>
      <w:r w:rsidRPr="00355972">
        <w:t xml:space="preserve">, 4th Ed. (The Dryden Press, 1985), at 201-204.  </w:t>
      </w:r>
    </w:p>
    <w:p w14:paraId="457B4915" w14:textId="005A836D" w:rsidR="00A906EB" w:rsidRDefault="004361F5" w:rsidP="004361F5">
      <w:pPr>
        <w:pStyle w:val="FootnoteText"/>
        <w:keepLines/>
        <w:numPr>
          <w:ilvl w:val="0"/>
          <w:numId w:val="2"/>
        </w:numPr>
      </w:pPr>
      <w:r w:rsidRPr="00355972">
        <w:t>The Regulatory Commission of Alaska, Docket P-97-7, Order Rejecting 1997, 1998, 1999 and 2000 Filed TAPS Rates; Setting Just and Reasonable Rates; Requiring Refunds and Filings; and Outlining Phase II Issues, November 27, 2002, at 146</w:t>
      </w:r>
      <w:r w:rsidR="00A906EB">
        <w:t>.</w:t>
      </w:r>
    </w:p>
    <w:p w14:paraId="12BE92C7" w14:textId="77777777" w:rsidR="00A906EB" w:rsidRDefault="004361F5" w:rsidP="004361F5">
      <w:pPr>
        <w:pStyle w:val="FootnoteText"/>
        <w:keepLines/>
        <w:numPr>
          <w:ilvl w:val="0"/>
          <w:numId w:val="2"/>
        </w:numPr>
      </w:pPr>
      <w:r w:rsidRPr="00355972">
        <w:t>Minnesota Public Utilities Commission, MPUC Docket No. G011/GR-15-736, In the Matter of the Application of Minnesota Energy Resources Corporation for Authority to Increase Rates for Natural Gas Service in Minnesota, Findings of Fact, Conclusions of Law, and Recommendation, August 19, 2016, at 29</w:t>
      </w:r>
      <w:r w:rsidR="00A906EB">
        <w:t>.</w:t>
      </w:r>
    </w:p>
    <w:p w14:paraId="774AD1A2" w14:textId="77777777" w:rsidR="00A906EB" w:rsidRDefault="004361F5" w:rsidP="004361F5">
      <w:pPr>
        <w:pStyle w:val="FootnoteText"/>
        <w:keepLines/>
        <w:numPr>
          <w:ilvl w:val="0"/>
          <w:numId w:val="2"/>
        </w:numPr>
      </w:pPr>
      <w:r w:rsidRPr="00355972">
        <w:t>Mississippi Public Service Commission, Docket No. 01-UN-0548, Notice of Intent of Mississippi Power Company to Change Rates for Electric Service in its Certificated Areas in the Twenty-Three Counties of Southeast Mississippi, Final Order, December 3, 2001, at 19</w:t>
      </w:r>
      <w:r w:rsidR="00A906EB">
        <w:t>.</w:t>
      </w:r>
    </w:p>
    <w:p w14:paraId="502E59E3" w14:textId="77777777" w:rsidR="00A906EB" w:rsidRDefault="004361F5" w:rsidP="004361F5">
      <w:pPr>
        <w:pStyle w:val="FootnoteText"/>
        <w:keepLines/>
        <w:numPr>
          <w:ilvl w:val="0"/>
          <w:numId w:val="2"/>
        </w:numPr>
      </w:pPr>
      <w:r w:rsidRPr="00355972">
        <w:t>Public Utilities Commission of Nevada, Docket No. 20-02023, Application of Southwest Gas Corporation for authority to increase its retail natural gas utility service rates for Southern and Northern Nevada, Order, September 23, 2020, at 35</w:t>
      </w:r>
      <w:r w:rsidR="00A906EB">
        <w:t>.</w:t>
      </w:r>
    </w:p>
    <w:p w14:paraId="2E218469" w14:textId="77777777" w:rsidR="00A906EB" w:rsidRDefault="004361F5" w:rsidP="004361F5">
      <w:pPr>
        <w:pStyle w:val="FootnoteText"/>
        <w:keepLines/>
        <w:numPr>
          <w:ilvl w:val="0"/>
          <w:numId w:val="2"/>
        </w:numPr>
      </w:pPr>
      <w:r w:rsidRPr="00355972">
        <w:t>New York Public Service Commission, Case 16-G-0058, Proceeding on Motion of the Commission as to the Rates, Charges, Rules and Regulations of KeySpan Gas East Corporation d/b/a National Grid for Gas Service, Order Adopting Terms of Joint Proposal and Establishing Gas Rate Plans, December 16, 2016, at 32</w:t>
      </w:r>
      <w:r w:rsidR="00A906EB">
        <w:t>.</w:t>
      </w:r>
    </w:p>
    <w:p w14:paraId="08A8BF7B" w14:textId="537AEEA1" w:rsidR="004361F5" w:rsidRPr="00355972" w:rsidRDefault="004361F5" w:rsidP="004361F5">
      <w:pPr>
        <w:pStyle w:val="FootnoteText"/>
        <w:keepLines/>
        <w:numPr>
          <w:ilvl w:val="0"/>
          <w:numId w:val="2"/>
        </w:numPr>
      </w:pPr>
      <w:r w:rsidRPr="00355972">
        <w:t>In the Matter of Application of Virginia Electric and Power Company, d/b/a Dominion Energy North Carolina for Adjustment of Rates and Charges Applicable to Electric Service in North Carolina, Docket No. E-22, Sub 562 Order Accepting Public Staff Stipulation in Part, Accepting CIGFUR Stipulation, Deciding Contested Issues, and Granting Partial Rate Increase, February 24, 2020, at 40.</w:t>
      </w:r>
    </w:p>
    <w:p w14:paraId="5C4EFD68" w14:textId="172346C7" w:rsidR="004361F5" w:rsidRPr="00355972" w:rsidRDefault="004361F5" w:rsidP="004361F5">
      <w:pPr>
        <w:pStyle w:val="FootnoteText"/>
        <w:numPr>
          <w:ilvl w:val="0"/>
          <w:numId w:val="2"/>
        </w:numPr>
      </w:pPr>
      <w:r w:rsidRPr="00355972">
        <w:t xml:space="preserve">Dennis Halcoussis, </w:t>
      </w:r>
      <w:r w:rsidRPr="00355972">
        <w:rPr>
          <w:u w:val="single"/>
        </w:rPr>
        <w:t>Understanding Econometrics</w:t>
      </w:r>
      <w:r w:rsidRPr="00355972">
        <w:t>, 2005, at 58.</w:t>
      </w:r>
    </w:p>
    <w:p w14:paraId="462555F6" w14:textId="529772FD" w:rsidR="004361F5" w:rsidRPr="00355972" w:rsidRDefault="004361F5" w:rsidP="004361F5">
      <w:pPr>
        <w:pStyle w:val="FootnoteText"/>
        <w:numPr>
          <w:ilvl w:val="0"/>
          <w:numId w:val="2"/>
        </w:numPr>
      </w:pPr>
      <w:r w:rsidRPr="00355972">
        <w:t xml:space="preserve">Robert Engle, </w:t>
      </w:r>
      <w:r w:rsidRPr="00355972">
        <w:rPr>
          <w:i/>
        </w:rPr>
        <w:t>GARCH 101:</w:t>
      </w:r>
      <w:r w:rsidRPr="00355972">
        <w:t xml:space="preserve">  </w:t>
      </w:r>
      <w:r w:rsidRPr="00355972">
        <w:rPr>
          <w:i/>
        </w:rPr>
        <w:t>The Use of ARCH/GARCH Models in Applied Econometrics</w:t>
      </w:r>
      <w:r w:rsidRPr="00355972">
        <w:t xml:space="preserve">, </w:t>
      </w:r>
      <w:r w:rsidRPr="00355972">
        <w:rPr>
          <w:u w:val="single"/>
        </w:rPr>
        <w:t>Journal of Economic Perspectives</w:t>
      </w:r>
      <w:r w:rsidRPr="00355972">
        <w:t>, Volume 15, No. 4, Fall 2001, at 157-168.</w:t>
      </w:r>
    </w:p>
    <w:p w14:paraId="6AD22143" w14:textId="70AA5BFA" w:rsidR="004361F5" w:rsidRPr="00355972" w:rsidRDefault="004361F5" w:rsidP="004361F5">
      <w:pPr>
        <w:pStyle w:val="FootnoteText"/>
        <w:keepLines/>
        <w:numPr>
          <w:ilvl w:val="0"/>
          <w:numId w:val="2"/>
        </w:numPr>
      </w:pPr>
      <w:r w:rsidRPr="00355972">
        <w:t>Shannon Pratt, Roger Grabowski, “The Lawyer’s Guide to The Cost of Capital: Understanding Risk and Return for Valuing Businesses and Other Investments”, American Bar Association, 2015, at 421.</w:t>
      </w:r>
    </w:p>
    <w:p w14:paraId="1CC38417" w14:textId="0BF92919" w:rsidR="004361F5" w:rsidRPr="00355972" w:rsidRDefault="004361F5" w:rsidP="004361F5">
      <w:pPr>
        <w:pStyle w:val="FootnoteText"/>
        <w:keepLines/>
        <w:numPr>
          <w:ilvl w:val="0"/>
          <w:numId w:val="2"/>
        </w:numPr>
      </w:pPr>
      <w:r w:rsidRPr="00355972">
        <w:lastRenderedPageBreak/>
        <w:t xml:space="preserve">David C. Parcell, </w:t>
      </w:r>
      <w:r w:rsidRPr="00355972">
        <w:rPr>
          <w:iCs/>
          <w:u w:val="single"/>
        </w:rPr>
        <w:t>Cost of Capital Manual</w:t>
      </w:r>
      <w:r w:rsidRPr="00355972">
        <w:t>, Society of Utility and Regulatory Financial Analysts, 2010 Edition, at 3-4.</w:t>
      </w:r>
    </w:p>
    <w:p w14:paraId="13AF21ED" w14:textId="613A1309" w:rsidR="004361F5" w:rsidRPr="00355972" w:rsidRDefault="004361F5" w:rsidP="004361F5">
      <w:pPr>
        <w:pStyle w:val="FootnoteText"/>
        <w:keepLines/>
        <w:numPr>
          <w:ilvl w:val="0"/>
          <w:numId w:val="2"/>
        </w:numPr>
        <w:rPr>
          <w:u w:val="single"/>
        </w:rPr>
      </w:pPr>
      <w:bookmarkStart w:id="5" w:name="_Hlk192166925"/>
      <w:r w:rsidRPr="00355972">
        <w:t xml:space="preserve">James C. Bonbright, </w:t>
      </w:r>
      <w:r w:rsidRPr="00355972">
        <w:rPr>
          <w:u w:val="single"/>
        </w:rPr>
        <w:t>Principles of Public Utility Rates</w:t>
      </w:r>
      <w:r w:rsidRPr="00355972">
        <w:t>, Columbia University Press, 1961, at 106-107.</w:t>
      </w:r>
      <w:r w:rsidRPr="00355972">
        <w:rPr>
          <w:u w:val="single"/>
        </w:rPr>
        <w:t xml:space="preserve"> </w:t>
      </w:r>
      <w:bookmarkEnd w:id="5"/>
    </w:p>
    <w:p w14:paraId="7153AEBA" w14:textId="2039B74F" w:rsidR="004361F5" w:rsidRPr="00355972" w:rsidRDefault="004361F5" w:rsidP="00A906EB">
      <w:pPr>
        <w:pStyle w:val="FootnoteText"/>
        <w:keepLines/>
        <w:numPr>
          <w:ilvl w:val="0"/>
          <w:numId w:val="2"/>
        </w:numPr>
      </w:pPr>
      <w:bookmarkStart w:id="6" w:name="_Hlk192166939"/>
      <w:r w:rsidRPr="00355972">
        <w:t xml:space="preserve">Charles F. Phillips, </w:t>
      </w:r>
      <w:r w:rsidRPr="00355972">
        <w:rPr>
          <w:u w:val="single"/>
        </w:rPr>
        <w:t>The Regulation of Public Utilities</w:t>
      </w:r>
      <w:r w:rsidRPr="00355972">
        <w:t>, Public Utility Reports, Inc., 1993, at 173.</w:t>
      </w:r>
      <w:bookmarkEnd w:id="6"/>
    </w:p>
    <w:p w14:paraId="6C719A81" w14:textId="77777777" w:rsidR="00A906EB" w:rsidRDefault="004361F5" w:rsidP="00355972">
      <w:pPr>
        <w:pStyle w:val="FootnoteText"/>
        <w:numPr>
          <w:ilvl w:val="0"/>
          <w:numId w:val="2"/>
        </w:numPr>
      </w:pPr>
      <w:r w:rsidRPr="00355972">
        <w:t xml:space="preserve">Moody’s Investor Service, Rating Methodology, </w:t>
      </w:r>
      <w:r w:rsidRPr="00355972">
        <w:rPr>
          <w:i/>
          <w:iCs/>
        </w:rPr>
        <w:t>Regulated Electric and Gas Utilities</w:t>
      </w:r>
      <w:r w:rsidRPr="00355972">
        <w:t>, August 6, 2024</w:t>
      </w:r>
    </w:p>
    <w:p w14:paraId="16F4ABA7" w14:textId="694DE5B1" w:rsidR="00355972" w:rsidRPr="00355972" w:rsidRDefault="004361F5" w:rsidP="00355972">
      <w:pPr>
        <w:pStyle w:val="FootnoteText"/>
        <w:numPr>
          <w:ilvl w:val="0"/>
          <w:numId w:val="2"/>
        </w:numPr>
      </w:pPr>
      <w:r w:rsidRPr="00355972">
        <w:t xml:space="preserve">Standard &amp; Poor’s, </w:t>
      </w:r>
      <w:r w:rsidRPr="00355972">
        <w:rPr>
          <w:i/>
          <w:iCs/>
        </w:rPr>
        <w:t>Utilities: Assessing U.S. Utility Regulatory Environments</w:t>
      </w:r>
      <w:r w:rsidRPr="00355972">
        <w:t>, November 15, 2011.</w:t>
      </w:r>
    </w:p>
    <w:p w14:paraId="7A6E23A7" w14:textId="50C8BED7" w:rsidR="00355972" w:rsidRPr="00355972" w:rsidRDefault="00355972" w:rsidP="00355972">
      <w:pPr>
        <w:pStyle w:val="FootnoteText"/>
        <w:numPr>
          <w:ilvl w:val="0"/>
          <w:numId w:val="2"/>
        </w:numPr>
      </w:pPr>
      <w:r w:rsidRPr="00355972">
        <w:rPr>
          <w:rStyle w:val="FootnoteReference"/>
          <w:rFonts w:eastAsiaTheme="majorEastAsia"/>
          <w:vertAlign w:val="baseline"/>
        </w:rPr>
        <w:t xml:space="preserve">Ping Zhou, William Ruland, </w:t>
      </w:r>
      <w:r w:rsidRPr="00355972">
        <w:rPr>
          <w:rStyle w:val="FootnoteReference"/>
          <w:rFonts w:eastAsiaTheme="majorEastAsia"/>
          <w:i/>
          <w:vertAlign w:val="baseline"/>
        </w:rPr>
        <w:t>Dividend Payout and Future Earnings Growth</w:t>
      </w:r>
      <w:r w:rsidRPr="00355972">
        <w:rPr>
          <w:rStyle w:val="FootnoteReference"/>
          <w:rFonts w:eastAsiaTheme="majorEastAsia"/>
          <w:vertAlign w:val="baseline"/>
        </w:rPr>
        <w:t xml:space="preserve">, </w:t>
      </w:r>
      <w:r w:rsidRPr="00355972">
        <w:rPr>
          <w:rStyle w:val="FootnoteReference"/>
          <w:rFonts w:eastAsiaTheme="majorEastAsia"/>
          <w:u w:val="single"/>
          <w:vertAlign w:val="baseline"/>
        </w:rPr>
        <w:t>Financial Analysts Journal</w:t>
      </w:r>
      <w:r w:rsidRPr="00355972">
        <w:rPr>
          <w:rStyle w:val="FootnoteReference"/>
          <w:rFonts w:eastAsiaTheme="majorEastAsia"/>
          <w:vertAlign w:val="baseline"/>
        </w:rPr>
        <w:t xml:space="preserve">, Vol. 62, No. 3, 2006.  </w:t>
      </w:r>
    </w:p>
    <w:p w14:paraId="21E13D8D" w14:textId="77777777" w:rsidR="00A906EB" w:rsidRDefault="004361F5" w:rsidP="00A906EB">
      <w:pPr>
        <w:pStyle w:val="FootnoteText"/>
        <w:numPr>
          <w:ilvl w:val="0"/>
          <w:numId w:val="2"/>
        </w:numPr>
      </w:pPr>
      <w:r w:rsidRPr="00355972">
        <w:rPr>
          <w:rStyle w:val="FootnoteReference"/>
          <w:rFonts w:eastAsiaTheme="majorEastAsia"/>
          <w:vertAlign w:val="baseline"/>
        </w:rPr>
        <w:t xml:space="preserve">Owain ap Gwilym, James Seaton, Karina Suddason, Stephen Thomas, </w:t>
      </w:r>
      <w:r w:rsidRPr="00355972">
        <w:rPr>
          <w:rStyle w:val="FootnoteReference"/>
          <w:rFonts w:eastAsiaTheme="majorEastAsia"/>
          <w:i/>
          <w:vertAlign w:val="baseline"/>
        </w:rPr>
        <w:t>International Evidence on the Payout Ratio, Earnings, Dividends and Returns</w:t>
      </w:r>
      <w:r w:rsidRPr="00355972">
        <w:rPr>
          <w:rStyle w:val="FootnoteReference"/>
          <w:rFonts w:eastAsiaTheme="majorEastAsia"/>
          <w:vertAlign w:val="baseline"/>
        </w:rPr>
        <w:t xml:space="preserve">, </w:t>
      </w:r>
      <w:r w:rsidRPr="00355972">
        <w:rPr>
          <w:rStyle w:val="FootnoteReference"/>
          <w:rFonts w:eastAsiaTheme="majorEastAsia"/>
          <w:u w:val="single"/>
          <w:vertAlign w:val="baseline"/>
        </w:rPr>
        <w:t>Financial Analysts Journal</w:t>
      </w:r>
      <w:r w:rsidRPr="00355972">
        <w:rPr>
          <w:rStyle w:val="FootnoteReference"/>
          <w:rFonts w:eastAsiaTheme="majorEastAsia"/>
          <w:vertAlign w:val="baseline"/>
        </w:rPr>
        <w:t>, Vol. 62, No. 7, 2006.</w:t>
      </w:r>
    </w:p>
    <w:p w14:paraId="0BE4AA1E" w14:textId="74BC9FB3" w:rsidR="004361F5" w:rsidRPr="00355972" w:rsidRDefault="004361F5" w:rsidP="00A906EB">
      <w:pPr>
        <w:pStyle w:val="FootnoteText"/>
        <w:numPr>
          <w:ilvl w:val="0"/>
          <w:numId w:val="2"/>
        </w:numPr>
      </w:pPr>
      <w:r w:rsidRPr="00355972">
        <w:t xml:space="preserve">Robert Arnott, Clifford Asness, </w:t>
      </w:r>
      <w:r w:rsidRPr="00A906EB">
        <w:rPr>
          <w:i/>
        </w:rPr>
        <w:t>Surprise: Higher Dividends = Higher Earnings Growth</w:t>
      </w:r>
      <w:r w:rsidRPr="00355972">
        <w:t xml:space="preserve">, </w:t>
      </w:r>
      <w:r w:rsidRPr="00A906EB">
        <w:rPr>
          <w:u w:val="single"/>
        </w:rPr>
        <w:t>Financial Analysts Journal</w:t>
      </w:r>
      <w:r w:rsidRPr="00355972">
        <w:t>, Vol. 59, No. 1, January/February 2003.</w:t>
      </w:r>
    </w:p>
    <w:p w14:paraId="5D7D1FF9" w14:textId="034784DA" w:rsidR="004361F5" w:rsidRPr="00355972" w:rsidRDefault="004361F5" w:rsidP="004361F5">
      <w:pPr>
        <w:pStyle w:val="FootnoteText"/>
        <w:numPr>
          <w:ilvl w:val="0"/>
          <w:numId w:val="2"/>
        </w:numPr>
      </w:pPr>
      <w:r w:rsidRPr="00355972">
        <w:t xml:space="preserve">Eugene F. Brigham, Louis C. Gapenski, </w:t>
      </w:r>
      <w:r w:rsidRPr="00355972">
        <w:rPr>
          <w:u w:val="single"/>
        </w:rPr>
        <w:t>Financial Management, Theory and Practice</w:t>
      </w:r>
      <w:r w:rsidRPr="00355972">
        <w:t>, Seventh Ed., 1994, at 618.</w:t>
      </w:r>
    </w:p>
    <w:p w14:paraId="24408E91" w14:textId="69C0452F" w:rsidR="004361F5" w:rsidRPr="00355972" w:rsidRDefault="004361F5" w:rsidP="004361F5">
      <w:pPr>
        <w:pStyle w:val="FootnoteText"/>
        <w:numPr>
          <w:ilvl w:val="0"/>
          <w:numId w:val="2"/>
        </w:numPr>
      </w:pPr>
      <w:r w:rsidRPr="00355972">
        <w:t xml:space="preserve">Z. Bodie, A. Kane, and A. J. Marcus, </w:t>
      </w:r>
      <w:r w:rsidRPr="00355972">
        <w:rPr>
          <w:i/>
          <w:iCs/>
        </w:rPr>
        <w:t>Investments</w:t>
      </w:r>
      <w:r w:rsidRPr="00355972">
        <w:t>, 7th Edition, McGraw-Hill Irwin, 2008, at 616-617.</w:t>
      </w:r>
    </w:p>
    <w:p w14:paraId="110C3B85" w14:textId="5BB0149A" w:rsidR="00355972" w:rsidRPr="00355972" w:rsidRDefault="004361F5" w:rsidP="004361F5">
      <w:pPr>
        <w:pStyle w:val="FootnoteText"/>
        <w:numPr>
          <w:ilvl w:val="0"/>
          <w:numId w:val="2"/>
        </w:numPr>
      </w:pPr>
      <w:r w:rsidRPr="00355972">
        <w:t xml:space="preserve">Harris, Using Analysts’ Growth Forecasts to Estimate Shareholder Required Rate of Return, </w:t>
      </w:r>
      <w:r w:rsidRPr="00355972">
        <w:rPr>
          <w:u w:val="single"/>
        </w:rPr>
        <w:t>Financial Management</w:t>
      </w:r>
      <w:r w:rsidRPr="00355972">
        <w:t>, Spring 1986</w:t>
      </w:r>
      <w:r w:rsidR="00A906EB">
        <w:t>.</w:t>
      </w:r>
    </w:p>
    <w:p w14:paraId="2E4CB725" w14:textId="72E39E1D" w:rsidR="00355972" w:rsidRPr="00355972" w:rsidRDefault="004361F5" w:rsidP="004361F5">
      <w:pPr>
        <w:pStyle w:val="FootnoteText"/>
        <w:numPr>
          <w:ilvl w:val="0"/>
          <w:numId w:val="2"/>
        </w:numPr>
      </w:pPr>
      <w:r w:rsidRPr="00355972">
        <w:t xml:space="preserve">Christofi, Christofi, Lori and Moliver, Evaluating Common Stocks Using </w:t>
      </w:r>
      <w:r w:rsidRPr="00355972">
        <w:rPr>
          <w:i/>
          <w:iCs/>
        </w:rPr>
        <w:t>Value Line</w:t>
      </w:r>
      <w:r w:rsidRPr="00355972">
        <w:t xml:space="preserve">’s Projected Cash Flows and Implied Growth Rate, </w:t>
      </w:r>
      <w:r w:rsidRPr="00355972">
        <w:rPr>
          <w:u w:val="single"/>
        </w:rPr>
        <w:t>Journal of Investing</w:t>
      </w:r>
      <w:r w:rsidRPr="00355972">
        <w:t>, Spring 1999</w:t>
      </w:r>
      <w:r w:rsidR="004201B2">
        <w:t>.</w:t>
      </w:r>
    </w:p>
    <w:p w14:paraId="5BAA14DC" w14:textId="281A518B" w:rsidR="004361F5" w:rsidRPr="00355972" w:rsidRDefault="004361F5" w:rsidP="004361F5">
      <w:pPr>
        <w:pStyle w:val="FootnoteText"/>
        <w:numPr>
          <w:ilvl w:val="0"/>
          <w:numId w:val="2"/>
        </w:numPr>
      </w:pPr>
      <w:r w:rsidRPr="00355972">
        <w:t xml:space="preserve">Harris and Marston, Estimating Shareholder Risk Premia Using Analysts’ Growth Forecasts, </w:t>
      </w:r>
      <w:r w:rsidRPr="00355972">
        <w:rPr>
          <w:u w:val="single"/>
        </w:rPr>
        <w:t>Financial Management</w:t>
      </w:r>
      <w:r w:rsidRPr="00355972">
        <w:t>, Summer 1992</w:t>
      </w:r>
      <w:r w:rsidR="004201B2">
        <w:t>.</w:t>
      </w:r>
    </w:p>
    <w:p w14:paraId="67DB164A" w14:textId="6AA3F154" w:rsidR="004361F5" w:rsidRPr="00355972" w:rsidRDefault="004361F5" w:rsidP="004361F5">
      <w:pPr>
        <w:pStyle w:val="FootnoteText"/>
        <w:numPr>
          <w:ilvl w:val="0"/>
          <w:numId w:val="2"/>
        </w:numPr>
      </w:pPr>
      <w:r w:rsidRPr="00355972">
        <w:t>James C. Bonbright, Albert L. Danielsen and David R. Kamerschen, Principles of Public Utility Rates (Public Utilities Reports, Inc., 1988), at 334.</w:t>
      </w:r>
    </w:p>
    <w:p w14:paraId="3560D982" w14:textId="2E6E0586" w:rsidR="004361F5" w:rsidRPr="00355972" w:rsidRDefault="004361F5" w:rsidP="004361F5">
      <w:pPr>
        <w:pStyle w:val="FootnoteText"/>
        <w:numPr>
          <w:ilvl w:val="0"/>
          <w:numId w:val="2"/>
        </w:numPr>
      </w:pPr>
      <w:r w:rsidRPr="00355972">
        <w:t xml:space="preserve">Eugene F. Brigham, Dilip K. Shome, and Steve R. Vinson, </w:t>
      </w:r>
      <w:r w:rsidRPr="00355972">
        <w:rPr>
          <w:i/>
          <w:iCs/>
        </w:rPr>
        <w:t>The Risk Premium Approach to Measuring a Utility's Cost of Equity</w:t>
      </w:r>
      <w:r w:rsidRPr="00355972">
        <w:t>, Financial Management (Spring 1985), at 43.</w:t>
      </w:r>
    </w:p>
    <w:p w14:paraId="5F8524E5" w14:textId="4DD6AFA2" w:rsidR="004361F5" w:rsidRPr="00355972" w:rsidRDefault="004361F5" w:rsidP="004361F5">
      <w:pPr>
        <w:pStyle w:val="FootnoteText"/>
        <w:numPr>
          <w:ilvl w:val="0"/>
          <w:numId w:val="2"/>
        </w:numPr>
      </w:pPr>
      <w:r w:rsidRPr="00355972">
        <w:t xml:space="preserve">James L. Farrell Jr., </w:t>
      </w:r>
      <w:r w:rsidRPr="00355972">
        <w:rPr>
          <w:i/>
          <w:iCs/>
        </w:rPr>
        <w:t>The Dividend Discount Model: A Primer</w:t>
      </w:r>
      <w:r w:rsidRPr="00355972">
        <w:t>, Financial Analysts Journal, November-December 1985, at 23.</w:t>
      </w:r>
    </w:p>
    <w:p w14:paraId="11E548C6" w14:textId="401CBE68" w:rsidR="004361F5" w:rsidRPr="00355972" w:rsidRDefault="004361F5" w:rsidP="004361F5">
      <w:pPr>
        <w:pStyle w:val="FootnoteText"/>
        <w:numPr>
          <w:ilvl w:val="0"/>
          <w:numId w:val="2"/>
        </w:numPr>
      </w:pPr>
      <w:r w:rsidRPr="00355972">
        <w:t xml:space="preserve">Robert S. Harris and Felicia C. Marston, </w:t>
      </w:r>
      <w:r w:rsidRPr="00355972">
        <w:rPr>
          <w:i/>
        </w:rPr>
        <w:t>The Market Risk Premium: Expectational Estimates Using Analysts’ Forecasts</w:t>
      </w:r>
      <w:r w:rsidRPr="00355972">
        <w:t xml:space="preserve">, Journal of Applied Finance, Vol. 11, No. 1, 2001, at 11-12, 14.  </w:t>
      </w:r>
    </w:p>
    <w:p w14:paraId="242596C5" w14:textId="29C16C7B" w:rsidR="004361F5" w:rsidRPr="00355972" w:rsidRDefault="004361F5" w:rsidP="004361F5">
      <w:pPr>
        <w:pStyle w:val="FootnoteText"/>
        <w:numPr>
          <w:ilvl w:val="0"/>
          <w:numId w:val="2"/>
        </w:numPr>
      </w:pPr>
      <w:r w:rsidRPr="00355972">
        <w:t xml:space="preserve">Farris M.  Maddox, Donna T. Pippert, and Rodney N.  Sullivan, </w:t>
      </w:r>
      <w:r w:rsidRPr="00355972">
        <w:rPr>
          <w:i/>
          <w:iCs/>
        </w:rPr>
        <w:t>An Empirical Study of Ex Ante Risk Premiums for the Electric Utility Industry</w:t>
      </w:r>
      <w:r w:rsidRPr="00355972">
        <w:t>, Financial Management, Vol. 24, No. 3, Autumn 1995 at 95.</w:t>
      </w:r>
    </w:p>
    <w:p w14:paraId="7A27A123" w14:textId="7C6B7635" w:rsidR="004361F5" w:rsidRPr="00355972" w:rsidRDefault="004361F5" w:rsidP="004361F5">
      <w:pPr>
        <w:pStyle w:val="FootnoteText"/>
        <w:numPr>
          <w:ilvl w:val="0"/>
          <w:numId w:val="2"/>
        </w:numPr>
      </w:pPr>
      <w:r w:rsidRPr="00355972">
        <w:t xml:space="preserve">Bente Villadsen, </w:t>
      </w:r>
      <w:r w:rsidRPr="00355972">
        <w:rPr>
          <w:i/>
          <w:iCs/>
        </w:rPr>
        <w:t>et. al</w:t>
      </w:r>
      <w:r w:rsidRPr="00355972">
        <w:t xml:space="preserve">, </w:t>
      </w:r>
      <w:r w:rsidRPr="00355972">
        <w:rPr>
          <w:u w:val="single"/>
        </w:rPr>
        <w:t>Risk and Return for Regulated Industries</w:t>
      </w:r>
      <w:r w:rsidRPr="00355972">
        <w:t xml:space="preserve"> (2017) at 95, endnote 147 of Chapter 4.</w:t>
      </w:r>
    </w:p>
    <w:p w14:paraId="039C9775" w14:textId="41A2D30E" w:rsidR="004361F5" w:rsidRPr="00355972" w:rsidRDefault="004361F5" w:rsidP="004361F5">
      <w:pPr>
        <w:pStyle w:val="ListParagraph"/>
        <w:numPr>
          <w:ilvl w:val="0"/>
          <w:numId w:val="2"/>
        </w:numPr>
      </w:pPr>
      <w:r w:rsidRPr="00355972">
        <w:t xml:space="preserve">Standard &amp; Poor’s Ratings Services, </w:t>
      </w:r>
      <w:r w:rsidRPr="00355972">
        <w:rPr>
          <w:i/>
        </w:rPr>
        <w:t>Corporate Methodology</w:t>
      </w:r>
      <w:r w:rsidRPr="00355972">
        <w:t>, November 19, 2013 at</w:t>
      </w:r>
      <w:r w:rsidRPr="00355972">
        <w:rPr>
          <w:spacing w:val="-11"/>
        </w:rPr>
        <w:t xml:space="preserve"> </w:t>
      </w:r>
      <w:r w:rsidRPr="00355972">
        <w:t>5.</w:t>
      </w:r>
    </w:p>
    <w:p w14:paraId="10BA6260" w14:textId="53F2E3CF" w:rsidR="00A906EB" w:rsidRDefault="004361F5" w:rsidP="004201B2">
      <w:pPr>
        <w:pStyle w:val="FootnoteText"/>
        <w:numPr>
          <w:ilvl w:val="0"/>
          <w:numId w:val="2"/>
        </w:numPr>
      </w:pPr>
      <w:r w:rsidRPr="00355972">
        <w:t xml:space="preserve">Standard &amp; Poor’s Ratings Services, </w:t>
      </w:r>
      <w:r w:rsidRPr="00355972">
        <w:rPr>
          <w:i/>
          <w:iCs/>
        </w:rPr>
        <w:t>Issuer Ranking: North American Electric, Gas, And Water Regulated Utilities, Strongest To Weakest</w:t>
      </w:r>
      <w:r w:rsidRPr="00355972">
        <w:t>, August 5, 2025.</w:t>
      </w:r>
    </w:p>
    <w:p w14:paraId="32080376" w14:textId="2730A86F" w:rsidR="004361F5" w:rsidRDefault="004361F5" w:rsidP="00A906EB">
      <w:pPr>
        <w:pStyle w:val="FootnoteText"/>
        <w:numPr>
          <w:ilvl w:val="0"/>
          <w:numId w:val="2"/>
        </w:numPr>
      </w:pPr>
      <w:r w:rsidRPr="00355972">
        <w:t>Robert F. Engle, David M. Lilien, and Russell P. Robins, “Estimating Time Varying Risk Premia in the Term Structure, The ARCH-M Model”, Econometrica, Volume 55, No. 2 (March 1987), at 391-407.</w:t>
      </w:r>
    </w:p>
    <w:p w14:paraId="34D3960E" w14:textId="44560AF0" w:rsidR="009D33AD" w:rsidRDefault="009D33AD" w:rsidP="00A906EB">
      <w:pPr>
        <w:pStyle w:val="FootnoteText"/>
        <w:numPr>
          <w:ilvl w:val="0"/>
          <w:numId w:val="2"/>
        </w:numPr>
      </w:pPr>
      <w:r>
        <w:t>Supporting Data from Zacks Investment Research for Utility Proxy Groups.</w:t>
      </w:r>
    </w:p>
    <w:p w14:paraId="5D696918" w14:textId="286E5CF7" w:rsidR="009D33AD" w:rsidRDefault="009D33AD" w:rsidP="00A906EB">
      <w:pPr>
        <w:pStyle w:val="FootnoteText"/>
        <w:numPr>
          <w:ilvl w:val="0"/>
          <w:numId w:val="2"/>
        </w:numPr>
      </w:pPr>
      <w:r>
        <w:t xml:space="preserve">Supporting Data from Zacks Investment Research for </w:t>
      </w:r>
      <w:r>
        <w:t>Non-Regulated</w:t>
      </w:r>
      <w:r>
        <w:t xml:space="preserve"> Proxy Groups.</w:t>
      </w:r>
    </w:p>
    <w:p w14:paraId="3D55D218" w14:textId="47506B44" w:rsidR="009D33AD" w:rsidRDefault="009D33AD" w:rsidP="00A906EB">
      <w:pPr>
        <w:pStyle w:val="FootnoteText"/>
        <w:numPr>
          <w:ilvl w:val="0"/>
          <w:numId w:val="2"/>
        </w:numPr>
      </w:pPr>
      <w:r>
        <w:t xml:space="preserve">Supporting Data from Value Line </w:t>
      </w:r>
      <w:r w:rsidR="00816CBE">
        <w:t>Standard Edition</w:t>
      </w:r>
      <w:r>
        <w:t xml:space="preserve"> for Non-Regulated Proxy Groups.</w:t>
      </w:r>
    </w:p>
    <w:p w14:paraId="72D94ECA" w14:textId="521DEDE2" w:rsidR="009D33AD" w:rsidRDefault="009D33AD" w:rsidP="00A906EB">
      <w:pPr>
        <w:pStyle w:val="FootnoteText"/>
        <w:numPr>
          <w:ilvl w:val="0"/>
          <w:numId w:val="2"/>
        </w:numPr>
      </w:pPr>
      <w:r>
        <w:t xml:space="preserve">Supporting Data </w:t>
      </w:r>
      <w:r w:rsidR="00816CBE">
        <w:t>from Eviews</w:t>
      </w:r>
      <w:r>
        <w:t>.</w:t>
      </w:r>
    </w:p>
    <w:p w14:paraId="5C107945" w14:textId="4B077275" w:rsidR="009D33AD" w:rsidRDefault="009D33AD" w:rsidP="00A906EB">
      <w:pPr>
        <w:pStyle w:val="FootnoteText"/>
        <w:numPr>
          <w:ilvl w:val="0"/>
          <w:numId w:val="2"/>
        </w:numPr>
      </w:pPr>
      <w:r>
        <w:t>Supporting Credit Rating Data from Moody’s Investor Services.</w:t>
      </w:r>
    </w:p>
    <w:p w14:paraId="44215EA5" w14:textId="30CF2D39" w:rsidR="009D33AD" w:rsidRDefault="009D33AD" w:rsidP="009D33AD">
      <w:pPr>
        <w:pStyle w:val="FootnoteText"/>
        <w:numPr>
          <w:ilvl w:val="0"/>
          <w:numId w:val="2"/>
        </w:numPr>
      </w:pPr>
      <w:r>
        <w:t xml:space="preserve">Supporting Credit Rating Data from </w:t>
      </w:r>
      <w:r>
        <w:t>S&amp;P Capital IQ</w:t>
      </w:r>
      <w:r>
        <w:t>.</w:t>
      </w:r>
    </w:p>
    <w:p w14:paraId="6E39378F" w14:textId="53E28F22" w:rsidR="009D33AD" w:rsidRDefault="009D33AD" w:rsidP="00A906EB">
      <w:pPr>
        <w:pStyle w:val="FootnoteText"/>
        <w:numPr>
          <w:ilvl w:val="0"/>
          <w:numId w:val="2"/>
        </w:numPr>
      </w:pPr>
      <w:r>
        <w:t>Supporting Data from Value Line Investment Survey.</w:t>
      </w:r>
    </w:p>
    <w:p w14:paraId="25C9F321" w14:textId="141B1847" w:rsidR="00816CBE" w:rsidRDefault="00816CBE" w:rsidP="00A906EB">
      <w:pPr>
        <w:pStyle w:val="FootnoteText"/>
        <w:numPr>
          <w:ilvl w:val="0"/>
          <w:numId w:val="2"/>
        </w:numPr>
      </w:pPr>
      <w:r>
        <w:t>Supporting Data for Kroll Size Deciles.</w:t>
      </w:r>
    </w:p>
    <w:p w14:paraId="211937B9" w14:textId="6FC76A2A" w:rsidR="00F0457E" w:rsidRDefault="00F0457E" w:rsidP="00A906EB">
      <w:pPr>
        <w:pStyle w:val="FootnoteText"/>
        <w:numPr>
          <w:ilvl w:val="0"/>
          <w:numId w:val="2"/>
        </w:numPr>
      </w:pPr>
      <w:r>
        <w:t>Supporting Data for Rebuttal Exhibit DWD-3.</w:t>
      </w:r>
    </w:p>
    <w:p w14:paraId="1147121A" w14:textId="769C5345" w:rsidR="00F0457E" w:rsidRDefault="00F0457E" w:rsidP="00F0457E">
      <w:pPr>
        <w:pStyle w:val="FootnoteText"/>
        <w:numPr>
          <w:ilvl w:val="0"/>
          <w:numId w:val="2"/>
        </w:numPr>
      </w:pPr>
      <w:r>
        <w:t>Supporting Data for Rebuttal Exhibit DWD-</w:t>
      </w:r>
      <w:r>
        <w:t>8.</w:t>
      </w:r>
    </w:p>
    <w:p w14:paraId="04D4F236" w14:textId="08DAEE51" w:rsidR="00F0457E" w:rsidRDefault="00F0457E" w:rsidP="00F0457E">
      <w:pPr>
        <w:pStyle w:val="FootnoteText"/>
        <w:numPr>
          <w:ilvl w:val="0"/>
          <w:numId w:val="2"/>
        </w:numPr>
      </w:pPr>
      <w:r>
        <w:t>Supporting Data for Rebuttal Exhibit DWD-</w:t>
      </w:r>
      <w:r>
        <w:t>17.</w:t>
      </w:r>
    </w:p>
    <w:p w14:paraId="24995CFA" w14:textId="30B87DD6" w:rsidR="00F353F7" w:rsidRDefault="00F353F7" w:rsidP="00F0457E">
      <w:pPr>
        <w:pStyle w:val="FootnoteText"/>
        <w:numPr>
          <w:ilvl w:val="0"/>
          <w:numId w:val="2"/>
        </w:numPr>
      </w:pPr>
      <w:r>
        <w:t>Supporting Data for Rebuttal Exhibit DWD-18.</w:t>
      </w:r>
    </w:p>
    <w:p w14:paraId="59B0F562" w14:textId="2D9D3BE5" w:rsidR="00F353F7" w:rsidRPr="00355972" w:rsidRDefault="00F353F7" w:rsidP="00F353F7">
      <w:pPr>
        <w:pStyle w:val="FootnoteText"/>
        <w:numPr>
          <w:ilvl w:val="0"/>
          <w:numId w:val="2"/>
        </w:numPr>
      </w:pPr>
      <w:r>
        <w:t>Supporting Data for Rebuttal Exhibit DWD-</w:t>
      </w:r>
      <w:r>
        <w:t>5</w:t>
      </w:r>
      <w:r>
        <w:t>.</w:t>
      </w:r>
    </w:p>
    <w:sectPr w:rsidR="00F353F7" w:rsidRPr="003559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1AAD6" w14:textId="77777777" w:rsidR="004A02FE" w:rsidRDefault="004A02FE" w:rsidP="004D1C52">
      <w:r>
        <w:separator/>
      </w:r>
    </w:p>
  </w:endnote>
  <w:endnote w:type="continuationSeparator" w:id="0">
    <w:p w14:paraId="228D1590" w14:textId="77777777" w:rsidR="004A02FE" w:rsidRDefault="004A02FE" w:rsidP="004D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1E935" w14:textId="77777777" w:rsidR="004A02FE" w:rsidRDefault="004A02FE" w:rsidP="004D1C52">
      <w:r>
        <w:separator/>
      </w:r>
    </w:p>
  </w:footnote>
  <w:footnote w:type="continuationSeparator" w:id="0">
    <w:p w14:paraId="1B235693" w14:textId="77777777" w:rsidR="004A02FE" w:rsidRDefault="004A02FE" w:rsidP="004D1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8333" w14:textId="416BF27B" w:rsidR="00280A50" w:rsidRPr="00836D3D" w:rsidRDefault="00280A50" w:rsidP="00280A50">
    <w:pPr>
      <w:pStyle w:val="Title"/>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Times New Roman" w:hAnsi="Times New Roman" w:cs="Times New Roman"/>
        <w:sz w:val="22"/>
        <w:szCs w:val="22"/>
      </w:rPr>
    </w:pPr>
    <w:r>
      <w:rPr>
        <w:rFonts w:ascii="Times New Roman" w:hAnsi="Times New Roman" w:cs="Times New Roman"/>
        <w:sz w:val="22"/>
        <w:szCs w:val="22"/>
      </w:rPr>
      <w:t>Louisville Gas &amp; Electric / Kentucky Utilities Company</w:t>
    </w:r>
  </w:p>
  <w:p w14:paraId="0AD70A95" w14:textId="77777777" w:rsidR="00280A50" w:rsidRPr="00836D3D" w:rsidRDefault="00280A50" w:rsidP="00280A50">
    <w:pPr>
      <w:pStyle w:val="Title"/>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Times New Roman" w:hAnsi="Times New Roman" w:cs="Times New Roman"/>
        <w:sz w:val="22"/>
        <w:szCs w:val="22"/>
      </w:rPr>
    </w:pPr>
    <w:r w:rsidRPr="00836D3D">
      <w:rPr>
        <w:rFonts w:ascii="Times New Roman" w:hAnsi="Times New Roman" w:cs="Times New Roman"/>
        <w:sz w:val="22"/>
        <w:szCs w:val="22"/>
      </w:rPr>
      <w:t>Index of Workpapers</w:t>
    </w:r>
  </w:p>
  <w:p w14:paraId="76BD9B71" w14:textId="5FD303E1" w:rsidR="00280A50" w:rsidRDefault="00280A50" w:rsidP="00280A50">
    <w:pPr>
      <w:pStyle w:val="Header"/>
      <w:jc w:val="center"/>
      <w:rPr>
        <w:u w:val="single"/>
      </w:rPr>
    </w:pPr>
    <w:r w:rsidRPr="00836D3D">
      <w:rPr>
        <w:u w:val="single"/>
      </w:rPr>
      <w:t xml:space="preserve">to the </w:t>
    </w:r>
    <w:r>
      <w:rPr>
        <w:u w:val="single"/>
      </w:rPr>
      <w:t>Rebuttal</w:t>
    </w:r>
    <w:r w:rsidRPr="00836D3D">
      <w:rPr>
        <w:u w:val="single"/>
      </w:rPr>
      <w:t xml:space="preserve"> Testimony and Exhibit of </w:t>
    </w:r>
    <w:r>
      <w:rPr>
        <w:u w:val="single"/>
      </w:rPr>
      <w:t>Mr.</w:t>
    </w:r>
    <w:r w:rsidRPr="00836D3D">
      <w:rPr>
        <w:u w:val="single"/>
      </w:rPr>
      <w:t xml:space="preserve"> Dylan W. D’Ascendis</w:t>
    </w:r>
  </w:p>
  <w:p w14:paraId="6F89F366" w14:textId="14B715E8" w:rsidR="004D1C52" w:rsidRDefault="004D1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B1FFB"/>
    <w:multiLevelType w:val="hybridMultilevel"/>
    <w:tmpl w:val="3B4A00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543BD2"/>
    <w:multiLevelType w:val="hybridMultilevel"/>
    <w:tmpl w:val="3F364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242215">
    <w:abstractNumId w:val="1"/>
  </w:num>
  <w:num w:numId="2" w16cid:durableId="254480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1F5"/>
    <w:rsid w:val="00280A50"/>
    <w:rsid w:val="00355972"/>
    <w:rsid w:val="004201B2"/>
    <w:rsid w:val="004361F5"/>
    <w:rsid w:val="004A02FE"/>
    <w:rsid w:val="004D1C52"/>
    <w:rsid w:val="00501155"/>
    <w:rsid w:val="00590EC9"/>
    <w:rsid w:val="00680F64"/>
    <w:rsid w:val="00692ABC"/>
    <w:rsid w:val="00811458"/>
    <w:rsid w:val="00816CBE"/>
    <w:rsid w:val="009D33AD"/>
    <w:rsid w:val="00A906EB"/>
    <w:rsid w:val="00C03789"/>
    <w:rsid w:val="00F0457E"/>
    <w:rsid w:val="00F353F7"/>
    <w:rsid w:val="00FC0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87616"/>
  <w15:chartTrackingRefBased/>
  <w15:docId w15:val="{D500FC67-9E98-47E8-ABB5-5437E6FDB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1F5"/>
    <w:pPr>
      <w:spacing w:after="0" w:line="240" w:lineRule="auto"/>
    </w:pPr>
    <w:rPr>
      <w:rFonts w:ascii="Times New Roman" w:eastAsia="Times New Roman" w:hAnsi="Times New Roman" w:cs="Times New Roman"/>
      <w:kern w:val="16"/>
      <w:sz w:val="20"/>
      <w:szCs w:val="20"/>
      <w14:ligatures w14:val="none"/>
    </w:rPr>
  </w:style>
  <w:style w:type="paragraph" w:styleId="Heading1">
    <w:name w:val="heading 1"/>
    <w:basedOn w:val="Normal"/>
    <w:next w:val="Normal"/>
    <w:link w:val="Heading1Char"/>
    <w:uiPriority w:val="9"/>
    <w:qFormat/>
    <w:rsid w:val="004361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1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1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1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1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1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1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1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1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1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1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1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1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1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1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1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1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1F5"/>
    <w:rPr>
      <w:rFonts w:eastAsiaTheme="majorEastAsia" w:cstheme="majorBidi"/>
      <w:color w:val="272727" w:themeColor="text1" w:themeTint="D8"/>
    </w:rPr>
  </w:style>
  <w:style w:type="paragraph" w:styleId="Title">
    <w:name w:val="Title"/>
    <w:basedOn w:val="Normal"/>
    <w:next w:val="Normal"/>
    <w:link w:val="TitleChar"/>
    <w:qFormat/>
    <w:rsid w:val="004361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61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1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1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61F5"/>
    <w:pPr>
      <w:spacing w:before="160"/>
      <w:jc w:val="center"/>
    </w:pPr>
    <w:rPr>
      <w:i/>
      <w:iCs/>
      <w:color w:val="404040" w:themeColor="text1" w:themeTint="BF"/>
    </w:rPr>
  </w:style>
  <w:style w:type="character" w:customStyle="1" w:styleId="QuoteChar">
    <w:name w:val="Quote Char"/>
    <w:basedOn w:val="DefaultParagraphFont"/>
    <w:link w:val="Quote"/>
    <w:uiPriority w:val="29"/>
    <w:rsid w:val="004361F5"/>
    <w:rPr>
      <w:i/>
      <w:iCs/>
      <w:color w:val="404040" w:themeColor="text1" w:themeTint="BF"/>
    </w:rPr>
  </w:style>
  <w:style w:type="paragraph" w:styleId="ListParagraph">
    <w:name w:val="List Paragraph"/>
    <w:basedOn w:val="Normal"/>
    <w:uiPriority w:val="34"/>
    <w:qFormat/>
    <w:rsid w:val="004361F5"/>
    <w:pPr>
      <w:ind w:left="720"/>
      <w:contextualSpacing/>
    </w:pPr>
  </w:style>
  <w:style w:type="character" w:styleId="IntenseEmphasis">
    <w:name w:val="Intense Emphasis"/>
    <w:basedOn w:val="DefaultParagraphFont"/>
    <w:uiPriority w:val="21"/>
    <w:qFormat/>
    <w:rsid w:val="004361F5"/>
    <w:rPr>
      <w:i/>
      <w:iCs/>
      <w:color w:val="0F4761" w:themeColor="accent1" w:themeShade="BF"/>
    </w:rPr>
  </w:style>
  <w:style w:type="paragraph" w:styleId="IntenseQuote">
    <w:name w:val="Intense Quote"/>
    <w:basedOn w:val="Normal"/>
    <w:next w:val="Normal"/>
    <w:link w:val="IntenseQuoteChar"/>
    <w:uiPriority w:val="30"/>
    <w:qFormat/>
    <w:rsid w:val="004361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1F5"/>
    <w:rPr>
      <w:i/>
      <w:iCs/>
      <w:color w:val="0F4761" w:themeColor="accent1" w:themeShade="BF"/>
    </w:rPr>
  </w:style>
  <w:style w:type="character" w:styleId="IntenseReference">
    <w:name w:val="Intense Reference"/>
    <w:basedOn w:val="DefaultParagraphFont"/>
    <w:uiPriority w:val="32"/>
    <w:qFormat/>
    <w:rsid w:val="004361F5"/>
    <w:rPr>
      <w:b/>
      <w:bCs/>
      <w:smallCaps/>
      <w:color w:val="0F4761" w:themeColor="accent1" w:themeShade="BF"/>
      <w:spacing w:val="5"/>
    </w:rPr>
  </w:style>
  <w:style w:type="paragraph" w:styleId="FootnoteText">
    <w:name w:val="footnote text"/>
    <w:aliases w:val="BG Footnote Text,Car,Footnote Text Char Char Char,Footnote Text Char Char Char Char Char Char Char Char Char,Footnote Text Char Char1,Footnote Text Char1 Char,Style 12,Style 22,Style 9,TBG Style,fn,ft Char,footnote text1,ALTS FOOTNOTE,ft"/>
    <w:basedOn w:val="Normal"/>
    <w:link w:val="FootnoteTextChar"/>
    <w:uiPriority w:val="99"/>
    <w:qFormat/>
    <w:rsid w:val="004361F5"/>
    <w:rPr>
      <w:rFonts w:cs="Arial"/>
      <w:bCs/>
      <w:kern w:val="0"/>
    </w:rPr>
  </w:style>
  <w:style w:type="character" w:customStyle="1" w:styleId="FootnoteTextChar">
    <w:name w:val="Footnote Text Char"/>
    <w:aliases w:val="BG Footnote Text Char,Car Char,Footnote Text Char Char Char Char,Footnote Text Char Char Char Char Char Char Char Char Char Char,Footnote Text Char Char1 Char,Footnote Text Char1 Char Char,Style 12 Char,Style 22 Char,Style 9 Char"/>
    <w:basedOn w:val="DefaultParagraphFont"/>
    <w:link w:val="FootnoteText"/>
    <w:uiPriority w:val="99"/>
    <w:rsid w:val="004361F5"/>
    <w:rPr>
      <w:rFonts w:ascii="Times New Roman" w:eastAsia="Times New Roman" w:hAnsi="Times New Roman" w:cs="Arial"/>
      <w:bCs/>
      <w:kern w:val="0"/>
      <w:sz w:val="20"/>
      <w:szCs w:val="20"/>
      <w14:ligatures w14:val="none"/>
    </w:rPr>
  </w:style>
  <w:style w:type="character" w:styleId="FootnoteReference">
    <w:name w:val="footnote reference"/>
    <w:aliases w:val="(NECG) Footnote Reference,Style 11,Style 13,Style 17,Style 18,Style 19,Style 20,Style 21,Style 28,Style 4,Style 5,Style 7,Style 8,fr,fr1,fr2,fr3,o,o1,o2,o3,Footnote Reference (EIS),Styl,Style 24,Style 15,Style 30,HLR Footnote,Style 3"/>
    <w:uiPriority w:val="99"/>
    <w:qFormat/>
    <w:rsid w:val="004361F5"/>
    <w:rPr>
      <w:vertAlign w:val="superscript"/>
    </w:rPr>
  </w:style>
  <w:style w:type="character" w:styleId="Hyperlink">
    <w:name w:val="Hyperlink"/>
    <w:aliases w:val="Style 16"/>
    <w:basedOn w:val="DefaultParagraphFont"/>
    <w:uiPriority w:val="99"/>
    <w:unhideWhenUsed/>
    <w:rsid w:val="004361F5"/>
    <w:rPr>
      <w:color w:val="467886" w:themeColor="hyperlink"/>
      <w:u w:val="single"/>
    </w:rPr>
  </w:style>
  <w:style w:type="paragraph" w:customStyle="1" w:styleId="Footnote1">
    <w:name w:val="Footnote1"/>
    <w:basedOn w:val="FootnoteText"/>
    <w:link w:val="Footnote1Char"/>
    <w:uiPriority w:val="1"/>
    <w:qFormat/>
    <w:rsid w:val="004361F5"/>
    <w:pPr>
      <w:widowControl w:val="0"/>
      <w:ind w:left="720" w:hanging="720"/>
    </w:pPr>
    <w:rPr>
      <w:rFonts w:cs="Times New Roman"/>
      <w:bCs w:val="0"/>
      <w:color w:val="242021"/>
    </w:rPr>
  </w:style>
  <w:style w:type="character" w:customStyle="1" w:styleId="Footnote1Char">
    <w:name w:val="Footnote1 Char"/>
    <w:link w:val="Footnote1"/>
    <w:uiPriority w:val="1"/>
    <w:rsid w:val="004361F5"/>
    <w:rPr>
      <w:rFonts w:ascii="Times New Roman" w:eastAsia="Times New Roman" w:hAnsi="Times New Roman" w:cs="Times New Roman"/>
      <w:color w:val="242021"/>
      <w:kern w:val="0"/>
      <w:sz w:val="20"/>
      <w:szCs w:val="20"/>
      <w14:ligatures w14:val="none"/>
    </w:rPr>
  </w:style>
  <w:style w:type="paragraph" w:styleId="Header">
    <w:name w:val="header"/>
    <w:basedOn w:val="Normal"/>
    <w:link w:val="HeaderChar"/>
    <w:uiPriority w:val="99"/>
    <w:unhideWhenUsed/>
    <w:rsid w:val="004D1C52"/>
    <w:pPr>
      <w:tabs>
        <w:tab w:val="center" w:pos="4680"/>
        <w:tab w:val="right" w:pos="9360"/>
      </w:tabs>
    </w:pPr>
  </w:style>
  <w:style w:type="character" w:customStyle="1" w:styleId="HeaderChar">
    <w:name w:val="Header Char"/>
    <w:basedOn w:val="DefaultParagraphFont"/>
    <w:link w:val="Header"/>
    <w:uiPriority w:val="99"/>
    <w:rsid w:val="004D1C52"/>
    <w:rPr>
      <w:rFonts w:ascii="Times New Roman" w:eastAsia="Times New Roman" w:hAnsi="Times New Roman" w:cs="Times New Roman"/>
      <w:kern w:val="16"/>
      <w:sz w:val="20"/>
      <w:szCs w:val="20"/>
      <w14:ligatures w14:val="none"/>
    </w:rPr>
  </w:style>
  <w:style w:type="paragraph" w:styleId="Footer">
    <w:name w:val="footer"/>
    <w:basedOn w:val="Normal"/>
    <w:link w:val="FooterChar"/>
    <w:uiPriority w:val="99"/>
    <w:unhideWhenUsed/>
    <w:rsid w:val="004D1C52"/>
    <w:pPr>
      <w:tabs>
        <w:tab w:val="center" w:pos="4680"/>
        <w:tab w:val="right" w:pos="9360"/>
      </w:tabs>
    </w:pPr>
  </w:style>
  <w:style w:type="character" w:customStyle="1" w:styleId="FooterChar">
    <w:name w:val="Footer Char"/>
    <w:basedOn w:val="DefaultParagraphFont"/>
    <w:link w:val="Footer"/>
    <w:uiPriority w:val="99"/>
    <w:rsid w:val="004D1C52"/>
    <w:rPr>
      <w:rFonts w:ascii="Times New Roman" w:eastAsia="Times New Roman" w:hAnsi="Times New Roman" w:cs="Times New Roman"/>
      <w:kern w:val="16"/>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202</TotalTime>
  <Pages>2</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Semenza</dc:creator>
  <cp:keywords/>
  <dc:description/>
  <cp:lastModifiedBy>John Semenza</cp:lastModifiedBy>
  <cp:revision>3</cp:revision>
  <dcterms:created xsi:type="dcterms:W3CDTF">2025-09-26T17:46:00Z</dcterms:created>
  <dcterms:modified xsi:type="dcterms:W3CDTF">2025-09-26T22:06:00Z</dcterms:modified>
</cp:coreProperties>
</file>